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pPr>
      <w:r w:rsidRPr="00000000" w:rsidR="00000000" w:rsidDel="00000000">
        <w:rPr>
          <w:rFonts w:cs="Arial" w:hAnsi="Arial" w:eastAsia="Arial" w:ascii="Arial"/>
          <w:color w:val="1a1a1a"/>
          <w:sz w:val="40"/>
          <w:rtl w:val="0"/>
        </w:rPr>
        <w:t xml:space="preserve">Hello and Welcome to theLAB@Inscape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color w:val="1a1a1a"/>
          <w:sz w:val="26"/>
          <w:rtl w:val="0"/>
        </w:rPr>
        <w:t xml:space="preserve">Come on in!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color w:val="1a1a1a"/>
          <w:sz w:val="26"/>
          <w:rtl w:val="0"/>
        </w:rPr>
        <w:t xml:space="preserve">We are so proud to offer you this venue to assist your pieces growth or presentation.  theLAB is a multiuse, “black box” style venue.  We designed our infrastructure to be as open as possible (no fixed seating, orientation or single audience path or presentation location) so you and your team get to ask the questions of how should the audience experience your piece.  Be that a reading, a workshop, a party, a show, a trial, a zoo, a dinner party, a touchy-feely-class on pneumatics as a means of social change, or just an audience and a performer, our space hopes to accommodate whatever your piece needs at this moment.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color w:val="1a1a1a"/>
          <w:sz w:val="26"/>
          <w:rtl w:val="0"/>
        </w:rPr>
        <w:t xml:space="preserve">So we’re very excited to get you familiar with our space and it’s options.  For everything this space is, it is </w:t>
      </w:r>
      <w:r w:rsidRPr="00000000" w:rsidR="00000000" w:rsidDel="00000000">
        <w:rPr>
          <w:rFonts w:cs="Arial" w:hAnsi="Arial" w:eastAsia="Arial" w:ascii="Arial"/>
          <w:i w:val="1"/>
          <w:color w:val="1a1a1a"/>
          <w:sz w:val="26"/>
          <w:rtl w:val="0"/>
        </w:rPr>
        <w:t xml:space="preserve">not</w:t>
      </w:r>
      <w:r w:rsidRPr="00000000" w:rsidR="00000000" w:rsidDel="00000000">
        <w:rPr>
          <w:rFonts w:cs="Arial" w:hAnsi="Arial" w:eastAsia="Arial" w:ascii="Arial"/>
          <w:color w:val="1a1a1a"/>
          <w:sz w:val="26"/>
          <w:rtl w:val="0"/>
        </w:rPr>
        <w:t xml:space="preserve"> a plug-and-play venue.  For instance, there are no seats or risers in the space until you set them up.  There is a House Plot that focuses on one particular area of the room for our simpler rentals, but if you are going to have a showing or production in the space, you’ll probably need a designer or someone familiar with lighting.  These are just examples of how to start thinking about using the lab, that is, get creative with space and presentation and prepare to design and implement a totally unique experience for your audience (don’t forget to invite us!!!).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color w:val="1a1a1a"/>
          <w:sz w:val="26"/>
          <w:rtl w:val="0"/>
        </w:rPr>
        <w:t xml:space="preserve">So….. HERE WE GO!</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color w:val="1a1a1a"/>
          <w:sz w:val="26"/>
          <w:rtl w:val="0"/>
        </w:rPr>
        <w:t xml:space="preserve">There are online inventories and plots which should be shared with all of your designers and collaborators who need it.  Please send us those email address.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color w:val="1a1a1a"/>
          <w:sz w:val="26"/>
          <w:rtl w:val="0"/>
        </w:rPr>
        <w:t xml:space="preserve">A few quick notes to pass along to designers and production managers: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b w:val="1"/>
          <w:color w:val="1a1a1a"/>
          <w:sz w:val="26"/>
          <w:rtl w:val="0"/>
        </w:rPr>
        <w:t xml:space="preserve">SET/SEATING</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color w:val="1a1a1a"/>
          <w:sz w:val="26"/>
          <w:rtl w:val="0"/>
        </w:rPr>
        <w:t xml:space="preserve">There are lots of riser options in the space with prebuilt compression leg options.  All assembly required.  Check out the Stage and Audience tab of the Inventory Google doc.</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color w:val="1a1a1a"/>
          <w:sz w:val="26"/>
          <w:rtl w:val="0"/>
        </w:rPr>
        <w:t xml:space="preserve">We own 60ish seats that can go wherever you’d like.  If they go on risers, let’s make sure we insure the safety of the audience members.  This means installing a bit of cross bracing for taller risers and a rim on the back edge of the platforms so the chair leg don’t push off.</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color w:val="1a1a1a"/>
          <w:sz w:val="26"/>
          <w:rtl w:val="0"/>
        </w:rPr>
        <w:t xml:space="preserve">Whatever risers and seats aren’t used need to remain on site unless you provide safe dry storage for them throughout the duration of the rental.</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b w:val="1"/>
          <w:color w:val="1a1a1a"/>
          <w:sz w:val="26"/>
          <w:rtl w:val="0"/>
        </w:rPr>
        <w:t xml:space="preserve">LIGHTING</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bookmarkStart w:id="0" w:colFirst="0" w:name="h.gjdgxs" w:colLast="0"/>
      <w:bookmarkEnd w:id="0"/>
      <w:r w:rsidRPr="00000000" w:rsidR="00000000" w:rsidDel="00000000">
        <w:rPr>
          <w:rFonts w:cs="Arial" w:hAnsi="Arial" w:eastAsia="Arial" w:ascii="Arial"/>
          <w:color w:val="1a1a1a"/>
          <w:sz w:val="26"/>
          <w:rtl w:val="0"/>
        </w:rPr>
        <w:t xml:space="preserve">There is a house plot which will need to be returned at your show’s strike.  See plots and charts shared on Google Drive.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color w:val="1a1a1a"/>
          <w:sz w:val="26"/>
          <w:rtl w:val="0"/>
        </w:rPr>
        <w:t xml:space="preserve">The major thing to know about our space is that we do not use a controlling device.  We use a computer with a control software called MagicQ.  It's a free download if you want to get a head start.  Learning to patch and program in that software will be the most specific piece of learning that we'll need to tackle together.  Beyond that, our system is build to be super simple and super flexible.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b w:val="1"/>
          <w:color w:val="1a1a1a"/>
          <w:sz w:val="26"/>
          <w:rtl w:val="0"/>
        </w:rPr>
        <w:t xml:space="preserve">SOUND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color w:val="1a1a1a"/>
          <w:sz w:val="26"/>
          <w:rtl w:val="0"/>
        </w:rPr>
        <w:t xml:space="preserve">The room is dampened with bass traps, but live music is still very bright in our concrete floored space.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color w:val="1a1a1a"/>
          <w:sz w:val="26"/>
          <w:rtl w:val="0"/>
        </w:rPr>
        <w:t xml:space="preserve">Check out the Audio tab of the Inventory doc.</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sz w:val="26"/>
          <w:rtl w:val="0"/>
        </w:rPr>
        <w:t xml:space="preserve">There is a Mac Mini that is a devoted Audio and Video Computer, complete with a Pro license for QLab Audion (and that includes the free QLab video version).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sz w:val="26"/>
          <w:rtl w:val="0"/>
        </w:rPr>
        <w:t xml:space="preserve">We have two Mains, two hotspots and a few mics, all coordinated through a A&amp;H 16 Channel sound board.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b w:val="1"/>
          <w:sz w:val="26"/>
          <w:rtl w:val="0"/>
        </w:rPr>
        <w:t xml:space="preserve">VIDEO</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sz w:val="26"/>
          <w:rtl w:val="0"/>
        </w:rPr>
        <w:t xml:space="preserve">There are two working larger projectors in the space, though we have found running both at one time takes some work. But video is available for playback via a free version of QLab video and this ties in with the QLab Pro Audio program.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sz w:val="26"/>
          <w:rtl w:val="0"/>
        </w:rPr>
        <w:t xml:space="preserve">Video and Sound designers should plan to share a cue list in QLab, we’ve  found this best for a single stage manager/board op situation.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b w:val="1"/>
          <w:sz w:val="26"/>
          <w:rtl w:val="0"/>
        </w:rPr>
        <w:t xml:space="preserve">TROUBLESHOOTING</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sz w:val="26"/>
          <w:rtl w:val="0"/>
        </w:rPr>
        <w:t xml:space="preserve">Contact Adam Standley with technical questions:</w:t>
      </w:r>
    </w:p>
    <w:p w:rsidP="00000000" w:rsidRPr="00000000" w:rsidR="00000000" w:rsidDel="00000000" w:rsidRDefault="00000000">
      <w:pPr>
        <w:contextualSpacing w:val="0"/>
      </w:pPr>
      <w:r w:rsidRPr="00000000" w:rsidR="00000000" w:rsidDel="00000000">
        <w:rPr>
          <w:rFonts w:cs="Arial" w:hAnsi="Arial" w:eastAsia="Arial" w:ascii="Arial"/>
          <w:sz w:val="26"/>
          <w:rtl w:val="0"/>
        </w:rPr>
        <w:t xml:space="preserve">Email- </w:t>
      </w:r>
      <w:hyperlink r:id="rId5">
        <w:r w:rsidRPr="00000000" w:rsidR="00000000" w:rsidDel="00000000">
          <w:rPr>
            <w:rFonts w:cs="Arial" w:hAnsi="Arial" w:eastAsia="Arial" w:ascii="Arial"/>
            <w:color w:val="0000ff"/>
            <w:sz w:val="26"/>
            <w:u w:val="single"/>
            <w:rtl w:val="0"/>
          </w:rPr>
          <w:t xml:space="preserve">atstandley@gmail.com</w:t>
        </w:r>
      </w:hyperlink>
      <w:r w:rsidRPr="00000000" w:rsidR="00000000" w:rsidDel="00000000">
        <w:rPr>
          <w:rFonts w:cs="Arial" w:hAnsi="Arial" w:eastAsia="Arial" w:ascii="Arial"/>
          <w:sz w:val="26"/>
          <w:rtl w:val="0"/>
        </w:rPr>
        <w:tab/>
      </w:r>
    </w:p>
    <w:p w:rsidP="00000000" w:rsidRPr="00000000" w:rsidR="00000000" w:rsidDel="00000000" w:rsidRDefault="00000000">
      <w:pPr>
        <w:contextualSpacing w:val="0"/>
      </w:pPr>
      <w:r w:rsidRPr="00000000" w:rsidR="00000000" w:rsidDel="00000000">
        <w:rPr>
          <w:rFonts w:cs="Arial" w:hAnsi="Arial" w:eastAsia="Arial" w:ascii="Arial"/>
          <w:sz w:val="26"/>
          <w:rtl w:val="0"/>
        </w:rPr>
        <w:t xml:space="preserve">Cell (texting is great)- 206.419.0860</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sz w:val="26"/>
          <w:rtl w:val="0"/>
        </w:rPr>
        <w:t xml:space="preserve">Contact Doreen Sayegh with contract questions:</w:t>
      </w:r>
    </w:p>
    <w:p w:rsidP="00000000" w:rsidRPr="00000000" w:rsidR="00000000" w:rsidDel="00000000" w:rsidRDefault="00000000">
      <w:pPr>
        <w:contextualSpacing w:val="0"/>
      </w:pPr>
      <w:r w:rsidRPr="00000000" w:rsidR="00000000" w:rsidDel="00000000">
        <w:rPr>
          <w:rFonts w:cs="Arial" w:hAnsi="Arial" w:eastAsia="Arial" w:ascii="Arial"/>
          <w:sz w:val="26"/>
          <w:rtl w:val="0"/>
        </w:rPr>
        <w:t xml:space="preserve">Email- </w:t>
      </w:r>
      <w:hyperlink r:id="rId6">
        <w:r w:rsidRPr="00000000" w:rsidR="00000000" w:rsidDel="00000000">
          <w:rPr>
            <w:rFonts w:cs="Arial" w:hAnsi="Arial" w:eastAsia="Arial" w:ascii="Arial"/>
            <w:color w:val="0000ff"/>
            <w:sz w:val="26"/>
            <w:u w:val="single"/>
            <w:rtl w:val="0"/>
          </w:rPr>
          <w:t xml:space="preserve">doreensayegh@gmail.com</w:t>
        </w:r>
      </w:hyperlink>
      <w:hyperlink r:id="rId7">
        <w:r w:rsidRPr="00000000" w:rsidR="00000000" w:rsidDel="00000000">
          <w:rPr>
            <w:rtl w:val="0"/>
          </w:rPr>
        </w:r>
      </w:hyperlink>
    </w:p>
    <w:p w:rsidP="00000000" w:rsidRPr="00000000" w:rsidR="00000000" w:rsidDel="00000000" w:rsidRDefault="00000000">
      <w:pPr>
        <w:contextualSpacing w:val="0"/>
      </w:pPr>
      <w:r w:rsidRPr="00000000" w:rsidR="00000000" w:rsidDel="00000000">
        <w:rPr>
          <w:rFonts w:cs="Arial" w:hAnsi="Arial" w:eastAsia="Arial" w:ascii="Arial"/>
          <w:sz w:val="26"/>
          <w:rtl w:val="0"/>
        </w:rPr>
        <w:t xml:space="preserve">Cell- 310.497.0374</w:t>
      </w:r>
    </w:p>
    <w:p w:rsidP="00000000" w:rsidRPr="00000000" w:rsidR="00000000" w:rsidDel="00000000" w:rsidRDefault="00000000">
      <w:pPr>
        <w:contextualSpacing w:val="0"/>
      </w:pPr>
      <w:r w:rsidRPr="00000000" w:rsidR="00000000" w:rsidDel="00000000">
        <w:rPr>
          <w:rtl w:val="0"/>
        </w:rPr>
      </w:r>
    </w:p>
    <w:sectPr>
      <w:pgSz w:w="12240" w:h="15840"/>
      <w:pgMar w:left="1800" w:right="1800" w:top="1440" w:bottom="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Georgia"/>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Cambria" w:hAnsi="Cambria" w:eastAsia="Cambria" w:ascii="Cambria"/>
        <w:b w:val="0"/>
        <w:i w:val="0"/>
        <w:smallCaps w:val="0"/>
        <w:strike w:val="0"/>
        <w:color w:val="000000"/>
        <w:sz w:val="24"/>
        <w:u w:val="none"/>
        <w:vertAlign w:val="baseline"/>
      </w:rPr>
    </w:rPrDefault>
    <w:pPrDefault>
      <w:pPr>
        <w:keepNext w:val="0"/>
        <w:keepLines w:val="0"/>
        <w:widowControl w:val="0"/>
        <w:spacing w:lineRule="auto" w:after="0" w:line="240" w:before="0"/>
        <w:ind w:left="0" w:firstLine="0" w:right="0"/>
        <w:contextualSpacing w:val="1"/>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120" w:before="480"/>
      <w:contextualSpacing w:val="1"/>
    </w:pPr>
    <w:rPr>
      <w:b w:val="1"/>
      <w:sz w:val="48"/>
    </w:rPr>
  </w:style>
  <w:style w:styleId="Heading2" w:type="paragraph">
    <w:name w:val="heading 2"/>
    <w:basedOn w:val="Normal"/>
    <w:next w:val="Normal"/>
    <w:pPr>
      <w:keepNext w:val="1"/>
      <w:keepLines w:val="1"/>
      <w:spacing w:lineRule="auto" w:after="80" w:before="360"/>
      <w:contextualSpacing w:val="1"/>
    </w:pPr>
    <w:rPr>
      <w:b w:val="1"/>
      <w:sz w:val="36"/>
    </w:rPr>
  </w:style>
  <w:style w:styleId="Heading3" w:type="paragraph">
    <w:name w:val="heading 3"/>
    <w:basedOn w:val="Normal"/>
    <w:next w:val="Normal"/>
    <w:pPr>
      <w:keepNext w:val="1"/>
      <w:keepLines w:val="1"/>
      <w:spacing w:lineRule="auto" w:after="80" w:before="280"/>
      <w:contextualSpacing w:val="1"/>
    </w:pPr>
    <w:rPr>
      <w:b w:val="1"/>
      <w:sz w:val="28"/>
    </w:rPr>
  </w:style>
  <w:style w:styleId="Heading4" w:type="paragraph">
    <w:name w:val="heading 4"/>
    <w:basedOn w:val="Normal"/>
    <w:next w:val="Normal"/>
    <w:pPr>
      <w:keepNext w:val="1"/>
      <w:keepLines w:val="1"/>
      <w:spacing w:lineRule="auto" w:after="40" w:before="240"/>
      <w:contextualSpacing w:val="1"/>
    </w:pPr>
    <w:rPr>
      <w:b w:val="1"/>
      <w:sz w:val="24"/>
    </w:rPr>
  </w:style>
  <w:style w:styleId="Heading5" w:type="paragraph">
    <w:name w:val="heading 5"/>
    <w:basedOn w:val="Normal"/>
    <w:next w:val="Normal"/>
    <w:pPr>
      <w:keepNext w:val="1"/>
      <w:keepLines w:val="1"/>
      <w:spacing w:lineRule="auto" w:after="40" w:before="220"/>
      <w:contextualSpacing w:val="1"/>
    </w:pPr>
    <w:rPr>
      <w:b w:val="1"/>
      <w:sz w:val="22"/>
    </w:rPr>
  </w:style>
  <w:style w:styleId="Heading6" w:type="paragraph">
    <w:name w:val="heading 6"/>
    <w:basedOn w:val="Normal"/>
    <w:next w:val="Normal"/>
    <w:pPr>
      <w:keepNext w:val="1"/>
      <w:keepLines w:val="1"/>
      <w:spacing w:lineRule="auto" w:after="40" w:before="200"/>
      <w:contextualSpacing w:val="1"/>
    </w:pPr>
    <w:rPr>
      <w:b w:val="1"/>
      <w:sz w:val="20"/>
    </w:rPr>
  </w:style>
  <w:style w:styleId="Title" w:type="paragraph">
    <w:name w:val="Title"/>
    <w:basedOn w:val="Normal"/>
    <w:next w:val="Normal"/>
    <w:pPr>
      <w:keepNext w:val="1"/>
      <w:keepLines w:val="1"/>
      <w:spacing w:lineRule="auto" w:after="120" w:before="480"/>
      <w:contextualSpacing w:val="1"/>
    </w:pPr>
    <w:rPr>
      <w:b w:val="1"/>
      <w:sz w:val="72"/>
    </w:rPr>
  </w:style>
  <w:style w:styleId="Subtitle" w:type="paragraph">
    <w:name w:val="Subtitle"/>
    <w:basedOn w:val="Normal"/>
    <w:next w:val="Normal"/>
    <w:pPr>
      <w:keepNext w:val="1"/>
      <w:keepLines w:val="1"/>
      <w:spacing w:lineRule="auto" w:after="80" w:before="360"/>
      <w:contextualSpacing w:val="1"/>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mailto:doreensayegh@gmail.com" Type="http://schemas.openxmlformats.org/officeDocument/2006/relationships/hyperlink" TargetMode="External" Id="rId6"/><Relationship Target="mailto:atstandley@gmail.com" Type="http://schemas.openxmlformats.org/officeDocument/2006/relationships/hyperlink" TargetMode="External" Id="rId5"/><Relationship Target="mailto:doreensayegh@gmail.com" Type="http://schemas.openxmlformats.org/officeDocument/2006/relationships/hyperlink" TargetMode="External"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Technical Introduction to theLAB@Inscape.docx</dc:title>
</cp:coreProperties>
</file>